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Evercare CTG SEO keypoints:</w:t>
        <w:br w:type="textWrapping"/>
        <w:br w:type="textWrapping"/>
      </w:r>
      <w:r w:rsidDel="00000000" w:rsidR="00000000" w:rsidRPr="00000000">
        <w:rPr>
          <w:b w:val="1"/>
          <w:bCs w:val="1"/>
          <w:rtl w:val="0"/>
        </w:rPr>
        <w:t xml:space="preserve">Bounce rate:</w:t>
        <w:br w:type="textWrapping"/>
      </w:r>
      <w:r w:rsidDel="00000000" w:rsidR="00000000" w:rsidRPr="00000000">
        <w:rPr/>
        <w:drawing>
          <wp:inline distB="114300" distT="114300" distL="114300" distR="114300">
            <wp:extent cx="5943600" cy="1981200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1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b w:val="1"/>
          <w:bCs w:val="1"/>
          <w:rtl w:val="0"/>
        </w:rPr>
        <w:t xml:space="preserve">Organic traffic only 3k while Evercare dhaka gets 18k+ traffic daily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981200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1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Overall traffic increase, Branded traffic is very poor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4859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Lots of keyword left for ranks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060700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0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Keywords that ranks on Ai but have a lot of scope to improve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9464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